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bookmarkStart w:id="0" w:name="_GoBack"/>
      <w:bookmarkEnd w:id="0"/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Stem Cell Research Advisory Committee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Connecticut Innovations Board Room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865 Brook Street, Rocky Hill, CT</w:t>
      </w:r>
    </w:p>
    <w:p w:rsidR="007D2DF2" w:rsidRPr="007B7A1E" w:rsidRDefault="00747DFE" w:rsidP="007B7A1E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March 18, 2014</w:t>
      </w:r>
      <w:r w:rsidR="007D2DF2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br/>
        <w:t>1:00 p.m.</w:t>
      </w:r>
    </w:p>
    <w:p w:rsidR="00DE12F3" w:rsidRPr="00FA349B" w:rsidRDefault="00DE12F3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7D2DF2" w:rsidRDefault="007D2DF2" w:rsidP="00CE2A7D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Opening Remarks</w:t>
      </w:r>
    </w:p>
    <w:p w:rsidR="00F25A1E" w:rsidRPr="00CE2A7D" w:rsidRDefault="00FF6FF8" w:rsidP="00CE2A7D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Welcome and </w:t>
      </w:r>
      <w:r w:rsidR="00F9754F">
        <w:rPr>
          <w:rFonts w:ascii="Calibri" w:hAnsi="Calibri" w:cs="Arial"/>
        </w:rPr>
        <w:t>i</w:t>
      </w:r>
      <w:r w:rsidR="00F25A1E">
        <w:rPr>
          <w:rFonts w:ascii="Calibri" w:hAnsi="Calibri" w:cs="Arial"/>
        </w:rPr>
        <w:t>ntro</w:t>
      </w:r>
      <w:r w:rsidR="0031646A">
        <w:rPr>
          <w:rFonts w:ascii="Calibri" w:hAnsi="Calibri" w:cs="Arial"/>
        </w:rPr>
        <w:t>duction—</w:t>
      </w:r>
      <w:r w:rsidR="00E80779">
        <w:rPr>
          <w:rFonts w:ascii="Calibri" w:hAnsi="Calibri" w:cs="Arial"/>
        </w:rPr>
        <w:t>Robert Grosso</w:t>
      </w:r>
    </w:p>
    <w:p w:rsidR="00B5762F" w:rsidRPr="006F19E1" w:rsidRDefault="007D2DF2" w:rsidP="007B7A1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6F19E1">
        <w:rPr>
          <w:rFonts w:ascii="Calibri" w:hAnsi="Calibri" w:cs="Arial"/>
        </w:rPr>
        <w:t xml:space="preserve">Approval of </w:t>
      </w:r>
      <w:r w:rsidR="00466A58" w:rsidRPr="006F19E1">
        <w:rPr>
          <w:rFonts w:ascii="Calibri" w:hAnsi="Calibri" w:cs="Arial"/>
        </w:rPr>
        <w:t>M</w:t>
      </w:r>
      <w:r w:rsidRPr="006F19E1">
        <w:rPr>
          <w:rFonts w:ascii="Calibri" w:hAnsi="Calibri" w:cs="Arial"/>
        </w:rPr>
        <w:t>inutes</w:t>
      </w:r>
      <w:r w:rsidR="006F19E1" w:rsidRPr="006F19E1">
        <w:rPr>
          <w:rFonts w:ascii="Calibri" w:hAnsi="Calibri" w:cs="Arial"/>
        </w:rPr>
        <w:t xml:space="preserve"> </w:t>
      </w:r>
      <w:r w:rsidR="00C32FF0">
        <w:rPr>
          <w:rFonts w:ascii="Calibri" w:hAnsi="Calibri" w:cs="Arial"/>
        </w:rPr>
        <w:t>–</w:t>
      </w:r>
      <w:r w:rsidR="006F19E1">
        <w:rPr>
          <w:rFonts w:ascii="Calibri" w:hAnsi="Calibri" w:cs="Arial"/>
        </w:rPr>
        <w:t xml:space="preserve"> </w:t>
      </w:r>
      <w:r w:rsidR="00C32FF0">
        <w:rPr>
          <w:rFonts w:ascii="Calibri" w:hAnsi="Calibri" w:cs="Arial"/>
        </w:rPr>
        <w:t>January 21, 2014</w:t>
      </w:r>
    </w:p>
    <w:p w:rsidR="00CE2A7D" w:rsidRDefault="00CE2A7D" w:rsidP="00CE2A7D">
      <w:pPr>
        <w:spacing w:after="0" w:line="240" w:lineRule="auto"/>
        <w:rPr>
          <w:rFonts w:ascii="Calibri" w:hAnsi="Calibri" w:cs="Arial"/>
        </w:rPr>
      </w:pPr>
    </w:p>
    <w:p w:rsidR="000101ED" w:rsidRDefault="000101ED" w:rsidP="001030E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Legislative Update—Claire Leonardi</w:t>
      </w:r>
    </w:p>
    <w:p w:rsidR="000101ED" w:rsidRDefault="000101ED" w:rsidP="000101ED">
      <w:pPr>
        <w:pStyle w:val="ListParagraph"/>
        <w:spacing w:after="0" w:line="240" w:lineRule="auto"/>
        <w:rPr>
          <w:rFonts w:ascii="Calibri" w:hAnsi="Calibri" w:cs="Arial"/>
        </w:rPr>
      </w:pPr>
    </w:p>
    <w:p w:rsidR="00690A9D" w:rsidRDefault="002E751F" w:rsidP="001030E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Annual</w:t>
      </w:r>
      <w:r w:rsidR="00CE2A7D" w:rsidRPr="002E751F">
        <w:rPr>
          <w:rFonts w:ascii="Calibri" w:hAnsi="Calibri" w:cs="Arial"/>
        </w:rPr>
        <w:t xml:space="preserve"> Reports</w:t>
      </w:r>
    </w:p>
    <w:p w:rsidR="00270EAB" w:rsidRDefault="0050272A" w:rsidP="0050398D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11SCA33 </w:t>
      </w:r>
      <w:proofErr w:type="spellStart"/>
      <w:r>
        <w:rPr>
          <w:rFonts w:ascii="Calibri" w:hAnsi="Calibri" w:cs="Arial"/>
        </w:rPr>
        <w:t>Qyang</w:t>
      </w:r>
      <w:proofErr w:type="spellEnd"/>
      <w:r>
        <w:rPr>
          <w:rFonts w:ascii="Calibri" w:hAnsi="Calibri" w:cs="Arial"/>
        </w:rPr>
        <w:t xml:space="preserve"> (YALE)</w:t>
      </w:r>
    </w:p>
    <w:p w:rsidR="00820E3A" w:rsidRDefault="00820E3A" w:rsidP="0050398D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12-SCA-UCHC-06 Crocker</w:t>
      </w:r>
    </w:p>
    <w:p w:rsidR="00E7320B" w:rsidRDefault="00E7320B" w:rsidP="0050398D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12-SCA-YALE-02 Slack</w:t>
      </w:r>
    </w:p>
    <w:p w:rsidR="00DB0043" w:rsidRDefault="00DB0043" w:rsidP="00134E19">
      <w:pPr>
        <w:spacing w:after="0" w:line="240" w:lineRule="auto"/>
        <w:ind w:left="720"/>
        <w:rPr>
          <w:rFonts w:ascii="Calibri" w:hAnsi="Calibri" w:cs="Arial"/>
        </w:rPr>
      </w:pPr>
    </w:p>
    <w:p w:rsidR="007B7A1E" w:rsidRDefault="007B7A1E" w:rsidP="007B7A1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Final Reports</w:t>
      </w:r>
    </w:p>
    <w:p w:rsidR="0031646A" w:rsidRDefault="0031646A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11SCA37 </w:t>
      </w:r>
      <w:proofErr w:type="spellStart"/>
      <w:r>
        <w:rPr>
          <w:rFonts w:ascii="Calibri" w:hAnsi="Calibri" w:cs="Arial"/>
        </w:rPr>
        <w:t>Guo</w:t>
      </w:r>
      <w:proofErr w:type="spellEnd"/>
      <w:r>
        <w:rPr>
          <w:rFonts w:ascii="Calibri" w:hAnsi="Calibri" w:cs="Arial"/>
        </w:rPr>
        <w:t xml:space="preserve"> (YALE)</w:t>
      </w:r>
    </w:p>
    <w:p w:rsidR="0031646A" w:rsidRPr="009807C0" w:rsidRDefault="0031646A" w:rsidP="0031646A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11SCA15 Fan (YALE)</w:t>
      </w:r>
    </w:p>
    <w:p w:rsidR="0031646A" w:rsidRDefault="0031646A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11SCA34 Wu (YALE)</w:t>
      </w:r>
    </w:p>
    <w:p w:rsidR="0031646A" w:rsidRDefault="0031646A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11SCB18 </w:t>
      </w:r>
      <w:proofErr w:type="spellStart"/>
      <w:r>
        <w:rPr>
          <w:rFonts w:ascii="Calibri" w:hAnsi="Calibri" w:cs="Arial"/>
        </w:rPr>
        <w:t>Qyang</w:t>
      </w:r>
      <w:proofErr w:type="spellEnd"/>
      <w:r>
        <w:rPr>
          <w:rFonts w:ascii="Calibri" w:hAnsi="Calibri" w:cs="Arial"/>
        </w:rPr>
        <w:t xml:space="preserve"> (YALE)</w:t>
      </w:r>
    </w:p>
    <w:p w:rsidR="0031646A" w:rsidRDefault="0031646A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11SCA40 </w:t>
      </w:r>
      <w:proofErr w:type="spellStart"/>
      <w:r>
        <w:rPr>
          <w:rFonts w:ascii="Calibri" w:hAnsi="Calibri" w:cs="Arial"/>
        </w:rPr>
        <w:t>Sundaram</w:t>
      </w:r>
      <w:proofErr w:type="spellEnd"/>
      <w:r>
        <w:rPr>
          <w:rFonts w:ascii="Calibri" w:hAnsi="Calibri" w:cs="Arial"/>
        </w:rPr>
        <w:t xml:space="preserve"> (YALE)</w:t>
      </w:r>
    </w:p>
    <w:p w:rsidR="00E933C5" w:rsidRDefault="00E933C5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11SCA03 </w:t>
      </w:r>
      <w:proofErr w:type="spellStart"/>
      <w:r>
        <w:rPr>
          <w:rFonts w:ascii="Calibri" w:hAnsi="Calibri" w:cs="Arial"/>
        </w:rPr>
        <w:t>Resch</w:t>
      </w:r>
      <w:proofErr w:type="spellEnd"/>
      <w:r>
        <w:rPr>
          <w:rFonts w:ascii="Calibri" w:hAnsi="Calibri" w:cs="Arial"/>
        </w:rPr>
        <w:t xml:space="preserve"> (UCHC)</w:t>
      </w:r>
    </w:p>
    <w:p w:rsidR="00867C40" w:rsidRDefault="00867C40" w:rsidP="0031646A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11SCA01 Martins-Taylor (UCHC)</w:t>
      </w:r>
    </w:p>
    <w:p w:rsidR="002C23E8" w:rsidRDefault="002C23E8" w:rsidP="00867C40">
      <w:pPr>
        <w:spacing w:after="0" w:line="240" w:lineRule="auto"/>
        <w:rPr>
          <w:rFonts w:ascii="Calibri" w:hAnsi="Calibri" w:cs="Arial"/>
        </w:rPr>
      </w:pPr>
    </w:p>
    <w:p w:rsidR="00C02D8A" w:rsidRDefault="002C23E8" w:rsidP="00C32FF0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2C23E8">
        <w:rPr>
          <w:rFonts w:ascii="Calibri" w:hAnsi="Calibri" w:cs="Arial"/>
        </w:rPr>
        <w:t>Revised Budget</w:t>
      </w:r>
      <w:r w:rsidR="00792D23">
        <w:rPr>
          <w:rFonts w:ascii="Calibri" w:hAnsi="Calibri" w:cs="Arial"/>
        </w:rPr>
        <w:t xml:space="preserve"> </w:t>
      </w:r>
      <w:r w:rsidR="002E3543">
        <w:rPr>
          <w:rFonts w:ascii="Calibri" w:hAnsi="Calibri" w:cs="Arial"/>
        </w:rPr>
        <w:t>Request</w:t>
      </w:r>
    </w:p>
    <w:p w:rsidR="00792D23" w:rsidRDefault="00792D23" w:rsidP="00792D23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11SCB11 Han (UCONN)</w:t>
      </w:r>
    </w:p>
    <w:p w:rsidR="00996B7B" w:rsidRPr="00792D23" w:rsidRDefault="00996B7B" w:rsidP="00792D23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11SCA28 Ma (UCONN)—FYI </w:t>
      </w:r>
    </w:p>
    <w:p w:rsidR="0031134E" w:rsidRDefault="009807C0" w:rsidP="0031134E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11SCA34 Wu (YALE)</w:t>
      </w:r>
      <w:r w:rsidR="002E3543">
        <w:rPr>
          <w:rFonts w:ascii="Calibri" w:hAnsi="Calibri" w:cs="Arial"/>
        </w:rPr>
        <w:t xml:space="preserve">—FYI </w:t>
      </w:r>
    </w:p>
    <w:p w:rsidR="00867C40" w:rsidRDefault="007835BB" w:rsidP="0031134E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10SCD01 Antic (UCONN)</w:t>
      </w:r>
      <w:r w:rsidR="002E3543">
        <w:rPr>
          <w:rFonts w:ascii="Calibri" w:hAnsi="Calibri" w:cs="Arial"/>
        </w:rPr>
        <w:t xml:space="preserve">—FYI </w:t>
      </w:r>
      <w:r w:rsidR="00792D23">
        <w:rPr>
          <w:rFonts w:ascii="Calibri" w:hAnsi="Calibri" w:cs="Arial"/>
        </w:rPr>
        <w:t xml:space="preserve"> </w:t>
      </w:r>
    </w:p>
    <w:p w:rsidR="00D75D3F" w:rsidRDefault="00D75D3F" w:rsidP="0031134E">
      <w:pPr>
        <w:spacing w:after="0" w:line="240" w:lineRule="auto"/>
        <w:ind w:left="720"/>
        <w:rPr>
          <w:rFonts w:ascii="Calibri" w:hAnsi="Calibri" w:cs="Arial"/>
        </w:rPr>
      </w:pPr>
    </w:p>
    <w:p w:rsidR="00AC166D" w:rsidRDefault="00AC166D" w:rsidP="00AC166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Statement of Financial Interests—May  1, 2014 deadline</w:t>
      </w:r>
    </w:p>
    <w:p w:rsidR="00AC166D" w:rsidRPr="00AC166D" w:rsidRDefault="00AC166D" w:rsidP="00AC166D">
      <w:pPr>
        <w:spacing w:after="0" w:line="240" w:lineRule="auto"/>
        <w:ind w:left="360"/>
        <w:rPr>
          <w:rFonts w:ascii="Calibri" w:hAnsi="Calibri" w:cs="Arial"/>
        </w:rPr>
      </w:pPr>
    </w:p>
    <w:p w:rsidR="00AC166D" w:rsidRPr="000101ED" w:rsidRDefault="00AC166D" w:rsidP="000101E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2014 Peer Review Process—CASE </w:t>
      </w:r>
    </w:p>
    <w:p w:rsidR="007835BB" w:rsidRDefault="007835BB" w:rsidP="0031134E">
      <w:pPr>
        <w:spacing w:after="0" w:line="240" w:lineRule="auto"/>
        <w:ind w:left="720"/>
        <w:rPr>
          <w:rFonts w:ascii="Calibri" w:hAnsi="Calibri" w:cs="Arial"/>
        </w:rPr>
      </w:pPr>
    </w:p>
    <w:p w:rsidR="00867C40" w:rsidRPr="00867C40" w:rsidRDefault="00C23621" w:rsidP="00867C40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Grant Review Meeting—June 9, 2014</w:t>
      </w:r>
    </w:p>
    <w:p w:rsidR="00CE2A7D" w:rsidRPr="00CE2A7D" w:rsidRDefault="00CE2A7D" w:rsidP="00CE2A7D">
      <w:pPr>
        <w:spacing w:after="0" w:line="240" w:lineRule="auto"/>
        <w:jc w:val="both"/>
        <w:rPr>
          <w:rFonts w:ascii="Calibri" w:hAnsi="Calibri"/>
        </w:rPr>
      </w:pPr>
    </w:p>
    <w:p w:rsidR="007D2DF2" w:rsidRPr="00CE2A7D" w:rsidRDefault="007D2DF2" w:rsidP="00CE2A7D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Public Comment</w:t>
      </w:r>
    </w:p>
    <w:p w:rsidR="007D2DF2" w:rsidRPr="00F43D2C" w:rsidRDefault="00E5605D" w:rsidP="00F43D2C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</w:rPr>
      </w:pPr>
      <w:r>
        <w:rPr>
          <w:rFonts w:ascii="Calibri" w:hAnsi="Calibri" w:cs="Arial"/>
        </w:rPr>
        <w:t>April 15</w:t>
      </w:r>
      <w:r w:rsidRPr="00E5605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Meeting Cancelled—Availability for April 22</w:t>
      </w:r>
      <w:r w:rsidRPr="00E5605D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>?</w:t>
      </w:r>
    </w:p>
    <w:p w:rsidR="0055596B" w:rsidRDefault="007D2DF2" w:rsidP="00CE2A7D">
      <w:pPr>
        <w:pStyle w:val="ListParagraph"/>
        <w:numPr>
          <w:ilvl w:val="0"/>
          <w:numId w:val="9"/>
        </w:numPr>
        <w:spacing w:after="0" w:line="480" w:lineRule="auto"/>
      </w:pPr>
      <w:r w:rsidRPr="00CE2A7D">
        <w:rPr>
          <w:rFonts w:ascii="Calibri" w:hAnsi="Calibri" w:cs="Arial"/>
        </w:rPr>
        <w:t>Adjourn</w:t>
      </w:r>
    </w:p>
    <w:sectPr w:rsidR="0055596B" w:rsidSect="00D5652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7F"/>
    <w:multiLevelType w:val="hybridMultilevel"/>
    <w:tmpl w:val="433485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8D6FC5"/>
    <w:multiLevelType w:val="hybridMultilevel"/>
    <w:tmpl w:val="9D02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25974"/>
    <w:multiLevelType w:val="hybridMultilevel"/>
    <w:tmpl w:val="FAA432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741EE"/>
    <w:multiLevelType w:val="hybridMultilevel"/>
    <w:tmpl w:val="21FE68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7AC1"/>
    <w:multiLevelType w:val="hybridMultilevel"/>
    <w:tmpl w:val="8DF46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B23DC"/>
    <w:multiLevelType w:val="hybridMultilevel"/>
    <w:tmpl w:val="1D06DF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41646"/>
    <w:multiLevelType w:val="hybridMultilevel"/>
    <w:tmpl w:val="778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15027"/>
    <w:multiLevelType w:val="hybridMultilevel"/>
    <w:tmpl w:val="F93E4F7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095916"/>
    <w:multiLevelType w:val="hybridMultilevel"/>
    <w:tmpl w:val="228A93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2"/>
    <w:rsid w:val="000101ED"/>
    <w:rsid w:val="000744FF"/>
    <w:rsid w:val="000760CA"/>
    <w:rsid w:val="000A0829"/>
    <w:rsid w:val="000A1DDF"/>
    <w:rsid w:val="000B00BD"/>
    <w:rsid w:val="000E1504"/>
    <w:rsid w:val="001030EE"/>
    <w:rsid w:val="00134E19"/>
    <w:rsid w:val="001F1521"/>
    <w:rsid w:val="00221036"/>
    <w:rsid w:val="00270EAB"/>
    <w:rsid w:val="002C23E8"/>
    <w:rsid w:val="002D26FD"/>
    <w:rsid w:val="002E3543"/>
    <w:rsid w:val="002E751F"/>
    <w:rsid w:val="0031134E"/>
    <w:rsid w:val="0031646A"/>
    <w:rsid w:val="00367FFD"/>
    <w:rsid w:val="00380A1E"/>
    <w:rsid w:val="003A53CF"/>
    <w:rsid w:val="003D02C8"/>
    <w:rsid w:val="003D3011"/>
    <w:rsid w:val="003E59EC"/>
    <w:rsid w:val="00415679"/>
    <w:rsid w:val="00450BB0"/>
    <w:rsid w:val="00464AF8"/>
    <w:rsid w:val="00466A58"/>
    <w:rsid w:val="004B6C0E"/>
    <w:rsid w:val="0050272A"/>
    <w:rsid w:val="0050398D"/>
    <w:rsid w:val="0055596B"/>
    <w:rsid w:val="005C5E3A"/>
    <w:rsid w:val="005C7245"/>
    <w:rsid w:val="005F2072"/>
    <w:rsid w:val="006278D5"/>
    <w:rsid w:val="0063207C"/>
    <w:rsid w:val="00651B70"/>
    <w:rsid w:val="00690A9D"/>
    <w:rsid w:val="006F19E1"/>
    <w:rsid w:val="0073175F"/>
    <w:rsid w:val="00747DFE"/>
    <w:rsid w:val="00762BF0"/>
    <w:rsid w:val="0077076E"/>
    <w:rsid w:val="007835BB"/>
    <w:rsid w:val="00792D23"/>
    <w:rsid w:val="007A3250"/>
    <w:rsid w:val="007B7A1E"/>
    <w:rsid w:val="007D2C98"/>
    <w:rsid w:val="007D2DF2"/>
    <w:rsid w:val="007E731C"/>
    <w:rsid w:val="00815B36"/>
    <w:rsid w:val="00820E3A"/>
    <w:rsid w:val="00841E07"/>
    <w:rsid w:val="0084238B"/>
    <w:rsid w:val="00867C40"/>
    <w:rsid w:val="00872564"/>
    <w:rsid w:val="008857C5"/>
    <w:rsid w:val="008B23D7"/>
    <w:rsid w:val="008D21E0"/>
    <w:rsid w:val="00904677"/>
    <w:rsid w:val="00950895"/>
    <w:rsid w:val="00976DB1"/>
    <w:rsid w:val="009807C0"/>
    <w:rsid w:val="00996B7B"/>
    <w:rsid w:val="009A1A8D"/>
    <w:rsid w:val="009A655C"/>
    <w:rsid w:val="00A04C49"/>
    <w:rsid w:val="00A213C8"/>
    <w:rsid w:val="00A26DE1"/>
    <w:rsid w:val="00AB1953"/>
    <w:rsid w:val="00AC166D"/>
    <w:rsid w:val="00AD08C9"/>
    <w:rsid w:val="00AE3791"/>
    <w:rsid w:val="00B33999"/>
    <w:rsid w:val="00B5762F"/>
    <w:rsid w:val="00BA7FF7"/>
    <w:rsid w:val="00C02D8A"/>
    <w:rsid w:val="00C153EA"/>
    <w:rsid w:val="00C23621"/>
    <w:rsid w:val="00C32FF0"/>
    <w:rsid w:val="00C71E4F"/>
    <w:rsid w:val="00C933C4"/>
    <w:rsid w:val="00CE2A7D"/>
    <w:rsid w:val="00D15054"/>
    <w:rsid w:val="00D5652C"/>
    <w:rsid w:val="00D75D3F"/>
    <w:rsid w:val="00DB0043"/>
    <w:rsid w:val="00DE12F3"/>
    <w:rsid w:val="00E3602C"/>
    <w:rsid w:val="00E5605D"/>
    <w:rsid w:val="00E7320B"/>
    <w:rsid w:val="00E77BC3"/>
    <w:rsid w:val="00E80779"/>
    <w:rsid w:val="00E933C5"/>
    <w:rsid w:val="00EA1C33"/>
    <w:rsid w:val="00ED5229"/>
    <w:rsid w:val="00F00028"/>
    <w:rsid w:val="00F25A1E"/>
    <w:rsid w:val="00F43D2C"/>
    <w:rsid w:val="00F95068"/>
    <w:rsid w:val="00F9754F"/>
    <w:rsid w:val="00FA349B"/>
    <w:rsid w:val="00FA5EC2"/>
    <w:rsid w:val="00FE76CB"/>
    <w:rsid w:val="00FE7C29"/>
    <w:rsid w:val="00FF6FF8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Allevo</dc:creator>
  <cp:lastModifiedBy>Salek, Agnieszka</cp:lastModifiedBy>
  <cp:revision>2</cp:revision>
  <cp:lastPrinted>2014-03-07T19:40:00Z</cp:lastPrinted>
  <dcterms:created xsi:type="dcterms:W3CDTF">2014-03-10T18:51:00Z</dcterms:created>
  <dcterms:modified xsi:type="dcterms:W3CDTF">2014-03-10T18:51:00Z</dcterms:modified>
</cp:coreProperties>
</file>